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9DC04F" w14:textId="64893BD8" w:rsidR="006F733E" w:rsidRPr="006F733E" w:rsidRDefault="006F733E" w:rsidP="006F733E">
      <w:pPr>
        <w:rPr>
          <w:rStyle w:val="Emphasis"/>
          <w:rFonts w:cstheme="minorHAnsi"/>
          <w:lang w:val="en-US"/>
        </w:rPr>
      </w:pPr>
      <w:proofErr w:type="spellStart"/>
      <w:r w:rsidRPr="006F733E">
        <w:rPr>
          <w:lang w:val="en-US"/>
        </w:rPr>
        <w:t>Studenica</w:t>
      </w:r>
      <w:proofErr w:type="spellEnd"/>
      <w:r w:rsidRPr="006F733E">
        <w:rPr>
          <w:lang w:val="en-US"/>
        </w:rPr>
        <w:t xml:space="preserve">, A., </w:t>
      </w:r>
      <w:proofErr w:type="spellStart"/>
      <w:r w:rsidRPr="006F733E">
        <w:rPr>
          <w:lang w:val="en-US"/>
        </w:rPr>
        <w:t>Laketa</w:t>
      </w:r>
      <w:proofErr w:type="spellEnd"/>
      <w:r w:rsidRPr="006F733E">
        <w:rPr>
          <w:lang w:val="en-US"/>
        </w:rPr>
        <w:t xml:space="preserve">, A., Chrysochoou, E., Blakey, E. &amp; </w:t>
      </w:r>
      <w:proofErr w:type="spellStart"/>
      <w:r w:rsidRPr="006F733E">
        <w:rPr>
          <w:lang w:val="en-US"/>
        </w:rPr>
        <w:t>Vivas</w:t>
      </w:r>
      <w:proofErr w:type="spellEnd"/>
      <w:r w:rsidRPr="006F733E">
        <w:rPr>
          <w:lang w:val="en-US"/>
        </w:rPr>
        <w:t xml:space="preserve">, A.B. (in press). The influence of bilingualism on adolescent cognition: The roles of biculturalism, the bilingual profile, and linguistic similarity. </w:t>
      </w:r>
      <w:r w:rsidRPr="006F733E">
        <w:rPr>
          <w:rStyle w:val="Emphasis"/>
          <w:lang w:val="en-US"/>
        </w:rPr>
        <w:t>Cognitive Development</w:t>
      </w:r>
      <w:r w:rsidRPr="006F733E">
        <w:rPr>
          <w:rStyle w:val="Emphasis"/>
          <w:rFonts w:cstheme="minorHAnsi"/>
          <w:lang w:val="en-US"/>
        </w:rPr>
        <w:t>.</w:t>
      </w:r>
      <w:r w:rsidRPr="006F733E">
        <w:rPr>
          <w:rStyle w:val="Emphasis"/>
          <w:rFonts w:cstheme="minorHAnsi"/>
          <w:lang w:val="en-US"/>
        </w:rPr>
        <w:t xml:space="preserve"> </w:t>
      </w:r>
      <w:hyperlink r:id="rId4" w:tgtFrame="_blank" w:tooltip="Persistent link using digital object identifier" w:history="1">
        <w:r w:rsidRPr="006F733E">
          <w:rPr>
            <w:rStyle w:val="Hyperlink"/>
            <w:rFonts w:cstheme="minorHAnsi"/>
            <w:color w:val="FF6C00"/>
            <w:lang w:val="en-US"/>
          </w:rPr>
          <w:t>https://doi.org/10.1016/j.cogdev.2022.101203</w:t>
        </w:r>
      </w:hyperlink>
      <w:r w:rsidRPr="006F733E">
        <w:rPr>
          <w:rStyle w:val="Emphasis"/>
          <w:rFonts w:cstheme="minorHAnsi"/>
          <w:lang w:val="en-US"/>
        </w:rPr>
        <w:t xml:space="preserve">                            </w:t>
      </w:r>
    </w:p>
    <w:p w14:paraId="2F311E15" w14:textId="77777777" w:rsidR="006F733E" w:rsidRDefault="006F733E">
      <w:pPr>
        <w:rPr>
          <w:rStyle w:val="Emphasis"/>
          <w:i w:val="0"/>
          <w:iCs w:val="0"/>
          <w:lang w:val="en-US"/>
        </w:rPr>
      </w:pPr>
    </w:p>
    <w:p w14:paraId="54F113C7" w14:textId="6DBAB7FC" w:rsidR="006F733E" w:rsidRPr="00161759" w:rsidRDefault="006F733E">
      <w:pPr>
        <w:rPr>
          <w:rStyle w:val="Emphasis"/>
          <w:b/>
          <w:bCs/>
          <w:i w:val="0"/>
          <w:iCs w:val="0"/>
          <w:color w:val="0070C0"/>
          <w:lang w:val="en-US"/>
        </w:rPr>
      </w:pPr>
      <w:r w:rsidRPr="00161759">
        <w:rPr>
          <w:rStyle w:val="Emphasis"/>
          <w:b/>
          <w:bCs/>
          <w:i w:val="0"/>
          <w:iCs w:val="0"/>
          <w:color w:val="0070C0"/>
          <w:lang w:val="en-US"/>
        </w:rPr>
        <w:t>Available online:</w:t>
      </w:r>
    </w:p>
    <w:p w14:paraId="5FFFA71C" w14:textId="771F4E88" w:rsidR="006F733E" w:rsidRDefault="006F733E" w:rsidP="006F733E">
      <w:pPr>
        <w:rPr>
          <w:lang w:val="en-US"/>
        </w:rPr>
      </w:pPr>
      <w:hyperlink r:id="rId5" w:history="1">
        <w:r w:rsidRPr="00D76BA4">
          <w:rPr>
            <w:rStyle w:val="Hyperlink"/>
            <w:lang w:val="en-US"/>
          </w:rPr>
          <w:t>https://www.sciencedirect.com/science/article/pii/S088520142200051X?dgcid=coauthor</w:t>
        </w:r>
      </w:hyperlink>
    </w:p>
    <w:p w14:paraId="16EF436E" w14:textId="77777777" w:rsidR="006F733E" w:rsidRPr="006F733E" w:rsidRDefault="006F733E" w:rsidP="006F733E">
      <w:pPr>
        <w:rPr>
          <w:rStyle w:val="Emphasis"/>
          <w:lang w:val="en-US"/>
        </w:rPr>
      </w:pPr>
    </w:p>
    <w:p w14:paraId="5907A9F8" w14:textId="77777777" w:rsidR="00A95AE2" w:rsidRPr="00A95AE2" w:rsidRDefault="00A95AE2" w:rsidP="00A95AE2">
      <w:pPr>
        <w:spacing w:after="120" w:line="240" w:lineRule="auto"/>
        <w:outlineLvl w:val="1"/>
        <w:rPr>
          <w:rFonts w:eastAsia="Times New Roman" w:cstheme="minorHAnsi"/>
          <w:b/>
          <w:bCs/>
          <w:color w:val="505050"/>
          <w:lang w:val="en-US" w:eastAsia="el-GR"/>
        </w:rPr>
      </w:pPr>
      <w:r w:rsidRPr="00A95AE2">
        <w:rPr>
          <w:rFonts w:eastAsia="Times New Roman" w:cstheme="minorHAnsi"/>
          <w:b/>
          <w:bCs/>
          <w:color w:val="505050"/>
          <w:lang w:val="en-US" w:eastAsia="el-GR"/>
        </w:rPr>
        <w:t>Highlights</w:t>
      </w:r>
    </w:p>
    <w:p w14:paraId="7FA2E1A6" w14:textId="77777777" w:rsidR="00A95AE2" w:rsidRDefault="00A95AE2" w:rsidP="00A95AE2">
      <w:pPr>
        <w:spacing w:after="0" w:line="240" w:lineRule="auto"/>
        <w:ind w:right="30"/>
        <w:rPr>
          <w:rFonts w:eastAsia="Times New Roman" w:cstheme="minorHAnsi"/>
          <w:color w:val="2E2E2E"/>
          <w:lang w:val="en-US" w:eastAsia="el-GR"/>
        </w:rPr>
      </w:pPr>
      <w:r w:rsidRPr="00A95AE2">
        <w:rPr>
          <w:rFonts w:eastAsia="Times New Roman" w:cstheme="minorHAnsi"/>
          <w:color w:val="2E2E2E"/>
          <w:lang w:val="en-US" w:eastAsia="el-GR"/>
        </w:rPr>
        <w:t>•</w:t>
      </w:r>
      <w:r>
        <w:rPr>
          <w:rFonts w:eastAsia="Times New Roman" w:cstheme="minorHAnsi"/>
          <w:color w:val="2E2E2E"/>
          <w:lang w:val="en-US" w:eastAsia="el-GR"/>
        </w:rPr>
        <w:t xml:space="preserve"> </w:t>
      </w:r>
      <w:r w:rsidRPr="00A95AE2">
        <w:rPr>
          <w:rFonts w:eastAsia="Times New Roman" w:cstheme="minorHAnsi"/>
          <w:color w:val="2E2E2E"/>
          <w:lang w:val="en-US" w:eastAsia="el-GR"/>
        </w:rPr>
        <w:t>A comprehensive investigation of the bilingual cognitive advantage in adolescents.</w:t>
      </w:r>
    </w:p>
    <w:p w14:paraId="35CE789F" w14:textId="412D43C6" w:rsidR="00A95AE2" w:rsidRDefault="00A95AE2" w:rsidP="00A95AE2">
      <w:pPr>
        <w:spacing w:after="0" w:line="240" w:lineRule="auto"/>
        <w:ind w:right="30"/>
        <w:rPr>
          <w:rFonts w:eastAsia="Times New Roman" w:cstheme="minorHAnsi"/>
          <w:color w:val="2E2E2E"/>
          <w:lang w:val="en-US" w:eastAsia="el-GR"/>
        </w:rPr>
      </w:pPr>
      <w:r w:rsidRPr="00A95AE2">
        <w:rPr>
          <w:rFonts w:eastAsia="Times New Roman" w:cstheme="minorHAnsi"/>
          <w:color w:val="2E2E2E"/>
          <w:lang w:val="en-US" w:eastAsia="el-GR"/>
        </w:rPr>
        <w:t>•</w:t>
      </w:r>
      <w:r>
        <w:rPr>
          <w:rFonts w:eastAsia="Times New Roman" w:cstheme="minorHAnsi"/>
          <w:color w:val="2E2E2E"/>
          <w:lang w:val="en-US" w:eastAsia="el-GR"/>
        </w:rPr>
        <w:t xml:space="preserve"> </w:t>
      </w:r>
      <w:r w:rsidRPr="00A95AE2">
        <w:rPr>
          <w:rFonts w:eastAsia="Times New Roman" w:cstheme="minorHAnsi"/>
          <w:color w:val="2E2E2E"/>
          <w:lang w:val="en-US" w:eastAsia="el-GR"/>
        </w:rPr>
        <w:t>Rich contextual information including linguistic, affective, educational, and cultural measures.</w:t>
      </w:r>
    </w:p>
    <w:p w14:paraId="1AF9433D" w14:textId="5FCA30C3" w:rsidR="00A95AE2" w:rsidRDefault="00A95AE2" w:rsidP="00A95AE2">
      <w:pPr>
        <w:spacing w:after="0" w:line="240" w:lineRule="auto"/>
        <w:ind w:right="30"/>
        <w:rPr>
          <w:rFonts w:eastAsia="Times New Roman" w:cstheme="minorHAnsi"/>
          <w:color w:val="2E2E2E"/>
          <w:lang w:val="en-US" w:eastAsia="el-GR"/>
        </w:rPr>
      </w:pPr>
      <w:r w:rsidRPr="00A95AE2">
        <w:rPr>
          <w:rFonts w:eastAsia="Times New Roman" w:cstheme="minorHAnsi"/>
          <w:color w:val="2E2E2E"/>
          <w:lang w:val="en-US" w:eastAsia="el-GR"/>
        </w:rPr>
        <w:t>•</w:t>
      </w:r>
      <w:r>
        <w:rPr>
          <w:rFonts w:eastAsia="Times New Roman" w:cstheme="minorHAnsi"/>
          <w:color w:val="2E2E2E"/>
          <w:lang w:val="en-US" w:eastAsia="el-GR"/>
        </w:rPr>
        <w:t xml:space="preserve"> </w:t>
      </w:r>
      <w:r w:rsidRPr="00A95AE2">
        <w:rPr>
          <w:rFonts w:eastAsia="Times New Roman" w:cstheme="minorHAnsi"/>
          <w:color w:val="2E2E2E"/>
          <w:lang w:val="en-US" w:eastAsia="el-GR"/>
        </w:rPr>
        <w:t>Novel approach to investigating the bilingual profile using data-driven cluster analyses.</w:t>
      </w:r>
    </w:p>
    <w:p w14:paraId="6172D1A7" w14:textId="1C6B4E4C" w:rsidR="00A95AE2" w:rsidRPr="00A95AE2" w:rsidRDefault="00A95AE2" w:rsidP="00A95AE2">
      <w:pPr>
        <w:spacing w:after="0" w:line="240" w:lineRule="auto"/>
        <w:ind w:right="30"/>
        <w:rPr>
          <w:rFonts w:eastAsia="Times New Roman" w:cstheme="minorHAnsi"/>
          <w:color w:val="2E2E2E"/>
          <w:lang w:val="en-US" w:eastAsia="el-GR"/>
        </w:rPr>
      </w:pPr>
      <w:r w:rsidRPr="00A95AE2">
        <w:rPr>
          <w:rFonts w:eastAsia="Times New Roman" w:cstheme="minorHAnsi"/>
          <w:color w:val="2E2E2E"/>
          <w:lang w:val="en-US" w:eastAsia="el-GR"/>
        </w:rPr>
        <w:t>•</w:t>
      </w:r>
      <w:r>
        <w:rPr>
          <w:rFonts w:eastAsia="Times New Roman" w:cstheme="minorHAnsi"/>
          <w:color w:val="2E2E2E"/>
          <w:lang w:val="en-US" w:eastAsia="el-GR"/>
        </w:rPr>
        <w:t xml:space="preserve"> </w:t>
      </w:r>
      <w:r w:rsidRPr="00A95AE2">
        <w:rPr>
          <w:rFonts w:eastAsia="Times New Roman" w:cstheme="minorHAnsi"/>
          <w:color w:val="2E2E2E"/>
          <w:lang w:val="en-US" w:eastAsia="el-GR"/>
        </w:rPr>
        <w:t>No systematic evidence for an effect of bilingualism in a range of EFs.</w:t>
      </w:r>
    </w:p>
    <w:p w14:paraId="6141DA68" w14:textId="3B6664EC" w:rsidR="00A95AE2" w:rsidRPr="00A95AE2" w:rsidRDefault="00A95AE2" w:rsidP="00A95AE2">
      <w:pPr>
        <w:spacing w:before="480" w:after="120" w:line="240" w:lineRule="auto"/>
        <w:outlineLvl w:val="1"/>
        <w:rPr>
          <w:rFonts w:eastAsia="Times New Roman" w:cstheme="minorHAnsi"/>
          <w:b/>
          <w:bCs/>
          <w:color w:val="505050"/>
          <w:lang w:val="en-US" w:eastAsia="el-GR"/>
        </w:rPr>
      </w:pPr>
      <w:r w:rsidRPr="00A95AE2">
        <w:rPr>
          <w:rFonts w:eastAsia="Times New Roman" w:cstheme="minorHAnsi"/>
          <w:b/>
          <w:bCs/>
          <w:color w:val="505050"/>
          <w:lang w:val="en-US" w:eastAsia="el-GR"/>
        </w:rPr>
        <w:t>Abstract</w:t>
      </w:r>
    </w:p>
    <w:p w14:paraId="3664BAF2" w14:textId="199F23CF" w:rsidR="00A95AE2" w:rsidRDefault="00A95AE2" w:rsidP="00A95AE2">
      <w:pPr>
        <w:spacing w:after="0" w:line="240" w:lineRule="auto"/>
        <w:rPr>
          <w:rFonts w:eastAsia="Times New Roman" w:cstheme="minorHAnsi"/>
          <w:color w:val="2E2E2E"/>
          <w:lang w:val="en-US" w:eastAsia="el-GR"/>
        </w:rPr>
      </w:pPr>
      <w:r w:rsidRPr="00A95AE2">
        <w:rPr>
          <w:rFonts w:eastAsia="Times New Roman" w:cstheme="minorHAnsi"/>
          <w:color w:val="2E2E2E"/>
          <w:lang w:val="en-US" w:eastAsia="el-GR"/>
        </w:rPr>
        <w:t>A</w:t>
      </w:r>
      <w:r>
        <w:rPr>
          <w:rFonts w:eastAsia="Times New Roman" w:cstheme="minorHAnsi"/>
          <w:color w:val="2E2E2E"/>
          <w:lang w:val="en-US" w:eastAsia="el-GR"/>
        </w:rPr>
        <w:t xml:space="preserve"> </w:t>
      </w:r>
      <w:r w:rsidRPr="00A95AE2">
        <w:rPr>
          <w:rFonts w:eastAsia="Times New Roman" w:cstheme="minorHAnsi"/>
          <w:color w:val="2E2E2E"/>
          <w:lang w:val="en-US" w:eastAsia="el-GR"/>
        </w:rPr>
        <w:t>broad and comprehensive approach was taken in the present study, to examine how acculturation, the bilingual profile (linguistic, affective, educational, and cultural), as well as linguistic similarity modulate any effects on executive functions (</w:t>
      </w:r>
      <w:r w:rsidRPr="00A95AE2">
        <w:rPr>
          <w:rFonts w:eastAsia="Times New Roman" w:cstheme="minorHAnsi"/>
          <w:color w:val="2E2E2E"/>
          <w:lang w:eastAsia="el-GR"/>
        </w:rPr>
        <w:t>Ε</w:t>
      </w:r>
      <w:r w:rsidRPr="00A95AE2">
        <w:rPr>
          <w:rFonts w:eastAsia="Times New Roman" w:cstheme="minorHAnsi"/>
          <w:color w:val="2E2E2E"/>
          <w:lang w:val="en-US" w:eastAsia="el-GR"/>
        </w:rPr>
        <w:t>Fs) in adolescence. We also further explored whether any such effects are developmental in nature, and thus, modulated by adolescents’ age. The study was pre-registered and investigated four bilingual adolescent populations (</w:t>
      </w:r>
      <w:r w:rsidRPr="00A95AE2">
        <w:rPr>
          <w:rFonts w:eastAsia="Times New Roman" w:cstheme="minorHAnsi"/>
          <w:i/>
          <w:iCs/>
          <w:color w:val="2E2E2E"/>
          <w:lang w:val="en-US" w:eastAsia="el-GR"/>
        </w:rPr>
        <w:t>N</w:t>
      </w:r>
      <w:r w:rsidRPr="00A95AE2">
        <w:rPr>
          <w:rFonts w:eastAsia="Times New Roman" w:cstheme="minorHAnsi"/>
          <w:color w:val="2E2E2E"/>
          <w:lang w:val="en-US" w:eastAsia="el-GR"/>
        </w:rPr>
        <w:t> = 191), and two groups of monolingual adolescents (</w:t>
      </w:r>
      <w:r w:rsidRPr="00A95AE2">
        <w:rPr>
          <w:rFonts w:eastAsia="Times New Roman" w:cstheme="minorHAnsi"/>
          <w:i/>
          <w:iCs/>
          <w:color w:val="2E2E2E"/>
          <w:lang w:val="en-US" w:eastAsia="el-GR"/>
        </w:rPr>
        <w:t>N</w:t>
      </w:r>
      <w:r w:rsidRPr="00A95AE2">
        <w:rPr>
          <w:rFonts w:eastAsia="Times New Roman" w:cstheme="minorHAnsi"/>
          <w:color w:val="2E2E2E"/>
          <w:lang w:val="en-US" w:eastAsia="el-GR"/>
        </w:rPr>
        <w:t xml:space="preserve"> = 100) from the Balkan region. Participants were tested on a range of cognitive outcomes, and rich contextual information was collected. We were able to move beyond studying factors in isolation by using data-driven cluster analyses to derive groups of </w:t>
      </w:r>
      <w:proofErr w:type="gramStart"/>
      <w:r w:rsidRPr="00A95AE2">
        <w:rPr>
          <w:rFonts w:eastAsia="Times New Roman" w:cstheme="minorHAnsi"/>
          <w:color w:val="2E2E2E"/>
          <w:lang w:val="en-US" w:eastAsia="el-GR"/>
        </w:rPr>
        <w:t>more or less balanced</w:t>
      </w:r>
      <w:proofErr w:type="gramEnd"/>
      <w:r w:rsidRPr="00A95AE2">
        <w:rPr>
          <w:rFonts w:eastAsia="Times New Roman" w:cstheme="minorHAnsi"/>
          <w:color w:val="2E2E2E"/>
          <w:lang w:val="en-US" w:eastAsia="el-GR"/>
        </w:rPr>
        <w:t xml:space="preserve"> profile bilinguals. While we found significant age-driven improvements in adolescents’ performance, we found no consistent evidence for an effect of bilingualism on EFs, across a range of tasks, taking into consideration a range of potential confounds and as a function of acculturation, bilingual profile or linguistic similarity. This suggests that when considering the wider bilingual picture, there is no evidence for a bilingual advantage in a range of EFs, even at such a sensitive period for cognitive development.</w:t>
      </w:r>
    </w:p>
    <w:p w14:paraId="092D8DCD" w14:textId="33A59D88" w:rsidR="00AB33A9" w:rsidRDefault="00AB33A9" w:rsidP="00A95AE2">
      <w:pPr>
        <w:spacing w:after="0" w:line="240" w:lineRule="auto"/>
        <w:rPr>
          <w:rFonts w:eastAsia="Times New Roman" w:cstheme="minorHAnsi"/>
          <w:color w:val="2E2E2E"/>
          <w:lang w:val="en-US" w:eastAsia="el-GR"/>
        </w:rPr>
      </w:pPr>
    </w:p>
    <w:p w14:paraId="1E615F0F" w14:textId="77777777" w:rsidR="00AB33A9" w:rsidRPr="00AB33A9" w:rsidRDefault="00AB33A9" w:rsidP="00AB33A9">
      <w:pPr>
        <w:spacing w:before="480" w:after="120" w:line="240" w:lineRule="auto"/>
        <w:outlineLvl w:val="1"/>
        <w:rPr>
          <w:rFonts w:eastAsia="Times New Roman" w:cstheme="minorHAnsi"/>
          <w:b/>
          <w:bCs/>
          <w:color w:val="505050"/>
          <w:lang w:val="en-US" w:eastAsia="el-GR"/>
        </w:rPr>
      </w:pPr>
      <w:r w:rsidRPr="00AB33A9">
        <w:rPr>
          <w:rFonts w:eastAsia="Times New Roman" w:cstheme="minorHAnsi"/>
          <w:b/>
          <w:bCs/>
          <w:color w:val="505050"/>
          <w:lang w:val="en-US" w:eastAsia="el-GR"/>
        </w:rPr>
        <w:t>Keywords</w:t>
      </w:r>
    </w:p>
    <w:p w14:paraId="188872EE" w14:textId="77777777" w:rsidR="00AB33A9" w:rsidRPr="00AB33A9" w:rsidRDefault="00AB33A9" w:rsidP="00AB33A9">
      <w:pPr>
        <w:spacing w:after="0" w:line="240" w:lineRule="auto"/>
        <w:rPr>
          <w:rFonts w:eastAsia="Times New Roman" w:cstheme="minorHAnsi"/>
          <w:color w:val="2E2E2E"/>
          <w:lang w:val="en-US" w:eastAsia="el-GR"/>
        </w:rPr>
      </w:pPr>
      <w:r w:rsidRPr="00AB33A9">
        <w:rPr>
          <w:rFonts w:eastAsia="Times New Roman" w:cstheme="minorHAnsi"/>
          <w:color w:val="2E2E2E"/>
          <w:lang w:val="en-US" w:eastAsia="el-GR"/>
        </w:rPr>
        <w:t>Adolescence</w:t>
      </w:r>
    </w:p>
    <w:p w14:paraId="45ADDBF1" w14:textId="77777777" w:rsidR="00AB33A9" w:rsidRPr="00AB33A9" w:rsidRDefault="00AB33A9" w:rsidP="00AB33A9">
      <w:pPr>
        <w:spacing w:after="0" w:line="240" w:lineRule="auto"/>
        <w:rPr>
          <w:rFonts w:eastAsia="Times New Roman" w:cstheme="minorHAnsi"/>
          <w:color w:val="2E2E2E"/>
          <w:lang w:val="en-US" w:eastAsia="el-GR"/>
        </w:rPr>
      </w:pPr>
      <w:r w:rsidRPr="00AB33A9">
        <w:rPr>
          <w:rFonts w:eastAsia="Times New Roman" w:cstheme="minorHAnsi"/>
          <w:color w:val="2E2E2E"/>
          <w:lang w:val="en-US" w:eastAsia="el-GR"/>
        </w:rPr>
        <w:t>Cognitive development</w:t>
      </w:r>
    </w:p>
    <w:p w14:paraId="39DB9154" w14:textId="77777777" w:rsidR="00AB33A9" w:rsidRPr="00AB33A9" w:rsidRDefault="00AB33A9" w:rsidP="00AB33A9">
      <w:pPr>
        <w:spacing w:after="0" w:line="240" w:lineRule="auto"/>
        <w:rPr>
          <w:rFonts w:eastAsia="Times New Roman" w:cstheme="minorHAnsi"/>
          <w:color w:val="2E2E2E"/>
          <w:lang w:val="en-US" w:eastAsia="el-GR"/>
        </w:rPr>
      </w:pPr>
      <w:r w:rsidRPr="00AB33A9">
        <w:rPr>
          <w:rFonts w:eastAsia="Times New Roman" w:cstheme="minorHAnsi"/>
          <w:color w:val="2E2E2E"/>
          <w:lang w:val="en-US" w:eastAsia="el-GR"/>
        </w:rPr>
        <w:t>Bilingualism</w:t>
      </w:r>
    </w:p>
    <w:p w14:paraId="3763291F" w14:textId="77777777" w:rsidR="00AB33A9" w:rsidRPr="00AB33A9" w:rsidRDefault="00AB33A9" w:rsidP="00AB33A9">
      <w:pPr>
        <w:spacing w:after="0" w:line="240" w:lineRule="auto"/>
        <w:rPr>
          <w:rFonts w:eastAsia="Times New Roman" w:cstheme="minorHAnsi"/>
          <w:color w:val="2E2E2E"/>
          <w:lang w:val="en-US" w:eastAsia="el-GR"/>
        </w:rPr>
      </w:pPr>
      <w:r w:rsidRPr="00AB33A9">
        <w:rPr>
          <w:rFonts w:eastAsia="Times New Roman" w:cstheme="minorHAnsi"/>
          <w:color w:val="2E2E2E"/>
          <w:lang w:val="en-US" w:eastAsia="el-GR"/>
        </w:rPr>
        <w:t>Acculturation</w:t>
      </w:r>
    </w:p>
    <w:p w14:paraId="722D496C" w14:textId="77777777" w:rsidR="00AB33A9" w:rsidRPr="00AB33A9" w:rsidRDefault="00AB33A9" w:rsidP="00AB33A9">
      <w:pPr>
        <w:spacing w:after="0" w:line="240" w:lineRule="auto"/>
        <w:rPr>
          <w:rFonts w:eastAsia="Times New Roman" w:cstheme="minorHAnsi"/>
          <w:color w:val="2E2E2E"/>
          <w:lang w:val="en-US" w:eastAsia="el-GR"/>
        </w:rPr>
      </w:pPr>
      <w:r w:rsidRPr="00AB33A9">
        <w:rPr>
          <w:rFonts w:eastAsia="Times New Roman" w:cstheme="minorHAnsi"/>
          <w:color w:val="2E2E2E"/>
          <w:lang w:val="en-US" w:eastAsia="el-GR"/>
        </w:rPr>
        <w:t>Linguistic similarity</w:t>
      </w:r>
    </w:p>
    <w:p w14:paraId="73993CC0" w14:textId="77777777" w:rsidR="00AB33A9" w:rsidRPr="00A95AE2" w:rsidRDefault="00AB33A9" w:rsidP="00A95AE2">
      <w:pPr>
        <w:spacing w:after="0" w:line="240" w:lineRule="auto"/>
        <w:rPr>
          <w:rFonts w:eastAsia="Times New Roman" w:cstheme="minorHAnsi"/>
          <w:color w:val="2E2E2E"/>
          <w:lang w:val="en-US" w:eastAsia="el-GR"/>
        </w:rPr>
      </w:pPr>
    </w:p>
    <w:p w14:paraId="2234D5ED" w14:textId="77777777" w:rsidR="006F733E" w:rsidRPr="00A95AE2" w:rsidRDefault="006F733E">
      <w:pPr>
        <w:rPr>
          <w:rStyle w:val="Emphasis"/>
          <w:rFonts w:cstheme="minorHAnsi"/>
          <w:lang w:val="en-US"/>
        </w:rPr>
      </w:pPr>
    </w:p>
    <w:p w14:paraId="79CF021A" w14:textId="5D300C88" w:rsidR="00930DC1" w:rsidRPr="00A95AE2" w:rsidRDefault="006F733E">
      <w:pPr>
        <w:rPr>
          <w:rFonts w:cstheme="minorHAnsi"/>
          <w:lang w:val="en-US"/>
        </w:rPr>
      </w:pPr>
      <w:r w:rsidRPr="00A95AE2">
        <w:rPr>
          <w:rStyle w:val="Emphasis"/>
          <w:rFonts w:cstheme="minorHAnsi"/>
          <w:lang w:val="en-US"/>
        </w:rPr>
        <w:t xml:space="preserve">                  </w:t>
      </w:r>
    </w:p>
    <w:p w14:paraId="47A23502" w14:textId="77777777" w:rsidR="006F733E" w:rsidRPr="00A95AE2" w:rsidRDefault="006F733E">
      <w:pPr>
        <w:rPr>
          <w:rFonts w:cstheme="minorHAnsi"/>
          <w:lang w:val="en-US"/>
        </w:rPr>
      </w:pPr>
    </w:p>
    <w:sectPr w:rsidR="006F733E" w:rsidRPr="00A95AE2" w:rsidSect="003F1A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33E"/>
    <w:rsid w:val="00161759"/>
    <w:rsid w:val="003F1A67"/>
    <w:rsid w:val="006F733E"/>
    <w:rsid w:val="00930DC1"/>
    <w:rsid w:val="00A95AE2"/>
    <w:rsid w:val="00AB33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F7B42"/>
  <w15:chartTrackingRefBased/>
  <w15:docId w15:val="{31AECBA0-828E-48A1-8C77-D2C04E656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A95AE2"/>
    <w:pPr>
      <w:spacing w:before="100" w:beforeAutospacing="1" w:after="100" w:afterAutospacing="1" w:line="240" w:lineRule="auto"/>
      <w:outlineLvl w:val="1"/>
    </w:pPr>
    <w:rPr>
      <w:rFonts w:ascii="Times New Roman" w:eastAsia="Times New Roman" w:hAnsi="Times New Roman" w:cs="Times New Roman"/>
      <w:b/>
      <w:bCs/>
      <w:sz w:val="36"/>
      <w:szCs w:val="36"/>
      <w:lang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6F733E"/>
    <w:rPr>
      <w:i/>
      <w:iCs/>
    </w:rPr>
  </w:style>
  <w:style w:type="character" w:styleId="Hyperlink">
    <w:name w:val="Hyperlink"/>
    <w:basedOn w:val="DefaultParagraphFont"/>
    <w:uiPriority w:val="99"/>
    <w:unhideWhenUsed/>
    <w:rsid w:val="006F733E"/>
    <w:rPr>
      <w:color w:val="0563C1" w:themeColor="hyperlink"/>
      <w:u w:val="single"/>
    </w:rPr>
  </w:style>
  <w:style w:type="character" w:styleId="UnresolvedMention">
    <w:name w:val="Unresolved Mention"/>
    <w:basedOn w:val="DefaultParagraphFont"/>
    <w:uiPriority w:val="99"/>
    <w:semiHidden/>
    <w:unhideWhenUsed/>
    <w:rsid w:val="006F733E"/>
    <w:rPr>
      <w:color w:val="605E5C"/>
      <w:shd w:val="clear" w:color="auto" w:fill="E1DFDD"/>
    </w:rPr>
  </w:style>
  <w:style w:type="character" w:customStyle="1" w:styleId="Heading2Char">
    <w:name w:val="Heading 2 Char"/>
    <w:basedOn w:val="DefaultParagraphFont"/>
    <w:link w:val="Heading2"/>
    <w:uiPriority w:val="9"/>
    <w:rsid w:val="00A95AE2"/>
    <w:rPr>
      <w:rFonts w:ascii="Times New Roman" w:eastAsia="Times New Roman" w:hAnsi="Times New Roman" w:cs="Times New Roman"/>
      <w:b/>
      <w:bCs/>
      <w:sz w:val="36"/>
      <w:szCs w:val="36"/>
      <w:lang w:eastAsia="el-GR"/>
    </w:rPr>
  </w:style>
  <w:style w:type="paragraph" w:styleId="NormalWeb">
    <w:name w:val="Normal (Web)"/>
    <w:basedOn w:val="Normal"/>
    <w:uiPriority w:val="99"/>
    <w:semiHidden/>
    <w:unhideWhenUsed/>
    <w:rsid w:val="00A95AE2"/>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698406">
      <w:bodyDiv w:val="1"/>
      <w:marLeft w:val="0"/>
      <w:marRight w:val="0"/>
      <w:marTop w:val="0"/>
      <w:marBottom w:val="0"/>
      <w:divBdr>
        <w:top w:val="none" w:sz="0" w:space="0" w:color="auto"/>
        <w:left w:val="none" w:sz="0" w:space="0" w:color="auto"/>
        <w:bottom w:val="none" w:sz="0" w:space="0" w:color="auto"/>
        <w:right w:val="none" w:sz="0" w:space="0" w:color="auto"/>
      </w:divBdr>
      <w:divsChild>
        <w:div w:id="1464227626">
          <w:marLeft w:val="0"/>
          <w:marRight w:val="0"/>
          <w:marTop w:val="0"/>
          <w:marBottom w:val="0"/>
          <w:divBdr>
            <w:top w:val="none" w:sz="0" w:space="0" w:color="auto"/>
            <w:left w:val="none" w:sz="0" w:space="0" w:color="auto"/>
            <w:bottom w:val="none" w:sz="0" w:space="0" w:color="auto"/>
            <w:right w:val="none" w:sz="0" w:space="0" w:color="auto"/>
          </w:divBdr>
        </w:div>
      </w:divsChild>
    </w:div>
    <w:div w:id="1042440067">
      <w:bodyDiv w:val="1"/>
      <w:marLeft w:val="0"/>
      <w:marRight w:val="0"/>
      <w:marTop w:val="0"/>
      <w:marBottom w:val="0"/>
      <w:divBdr>
        <w:top w:val="none" w:sz="0" w:space="0" w:color="auto"/>
        <w:left w:val="none" w:sz="0" w:space="0" w:color="auto"/>
        <w:bottom w:val="none" w:sz="0" w:space="0" w:color="auto"/>
        <w:right w:val="none" w:sz="0" w:space="0" w:color="auto"/>
      </w:divBdr>
      <w:divsChild>
        <w:div w:id="110322333">
          <w:marLeft w:val="0"/>
          <w:marRight w:val="0"/>
          <w:marTop w:val="0"/>
          <w:marBottom w:val="0"/>
          <w:divBdr>
            <w:top w:val="none" w:sz="0" w:space="0" w:color="auto"/>
            <w:left w:val="none" w:sz="0" w:space="0" w:color="auto"/>
            <w:bottom w:val="none" w:sz="0" w:space="0" w:color="auto"/>
            <w:right w:val="none" w:sz="0" w:space="0" w:color="auto"/>
          </w:divBdr>
        </w:div>
      </w:divsChild>
    </w:div>
    <w:div w:id="1206794431">
      <w:bodyDiv w:val="1"/>
      <w:marLeft w:val="0"/>
      <w:marRight w:val="0"/>
      <w:marTop w:val="0"/>
      <w:marBottom w:val="0"/>
      <w:divBdr>
        <w:top w:val="none" w:sz="0" w:space="0" w:color="auto"/>
        <w:left w:val="none" w:sz="0" w:space="0" w:color="auto"/>
        <w:bottom w:val="none" w:sz="0" w:space="0" w:color="auto"/>
        <w:right w:val="none" w:sz="0" w:space="0" w:color="auto"/>
      </w:divBdr>
      <w:divsChild>
        <w:div w:id="1067384836">
          <w:marLeft w:val="0"/>
          <w:marRight w:val="0"/>
          <w:marTop w:val="0"/>
          <w:marBottom w:val="0"/>
          <w:divBdr>
            <w:top w:val="none" w:sz="0" w:space="0" w:color="auto"/>
            <w:left w:val="none" w:sz="0" w:space="0" w:color="auto"/>
            <w:bottom w:val="none" w:sz="0" w:space="0" w:color="auto"/>
            <w:right w:val="none" w:sz="0" w:space="0" w:color="auto"/>
          </w:divBdr>
        </w:div>
        <w:div w:id="282468128">
          <w:marLeft w:val="0"/>
          <w:marRight w:val="0"/>
          <w:marTop w:val="0"/>
          <w:marBottom w:val="0"/>
          <w:divBdr>
            <w:top w:val="none" w:sz="0" w:space="0" w:color="auto"/>
            <w:left w:val="none" w:sz="0" w:space="0" w:color="auto"/>
            <w:bottom w:val="none" w:sz="0" w:space="0" w:color="auto"/>
            <w:right w:val="none" w:sz="0" w:space="0" w:color="auto"/>
          </w:divBdr>
        </w:div>
        <w:div w:id="381632989">
          <w:marLeft w:val="0"/>
          <w:marRight w:val="0"/>
          <w:marTop w:val="0"/>
          <w:marBottom w:val="0"/>
          <w:divBdr>
            <w:top w:val="none" w:sz="0" w:space="0" w:color="auto"/>
            <w:left w:val="none" w:sz="0" w:space="0" w:color="auto"/>
            <w:bottom w:val="none" w:sz="0" w:space="0" w:color="auto"/>
            <w:right w:val="none" w:sz="0" w:space="0" w:color="auto"/>
          </w:divBdr>
        </w:div>
        <w:div w:id="1399935451">
          <w:marLeft w:val="0"/>
          <w:marRight w:val="0"/>
          <w:marTop w:val="0"/>
          <w:marBottom w:val="0"/>
          <w:divBdr>
            <w:top w:val="none" w:sz="0" w:space="0" w:color="auto"/>
            <w:left w:val="none" w:sz="0" w:space="0" w:color="auto"/>
            <w:bottom w:val="none" w:sz="0" w:space="0" w:color="auto"/>
            <w:right w:val="none" w:sz="0" w:space="0" w:color="auto"/>
          </w:divBdr>
        </w:div>
        <w:div w:id="1448307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science/article/pii/S088520142200051X?dgcid=coauthor" TargetMode="External"/><Relationship Id="rId4" Type="http://schemas.openxmlformats.org/officeDocument/2006/relationships/hyperlink" Target="https://doi.org/10.1016/j.cogdev.2022.1012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382</Words>
  <Characters>2068</Characters>
  <Application>Microsoft Office Word</Application>
  <DocSecurity>0</DocSecurity>
  <Lines>17</Lines>
  <Paragraphs>4</Paragraphs>
  <ScaleCrop>false</ScaleCrop>
  <Company/>
  <LinksUpToDate>false</LinksUpToDate>
  <CharactersWithSpaces>2446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Elisavet Chrysochoou</dc:creator>
  <cp:keywords/>
  <dc:description/>
  <cp:lastModifiedBy>Elisavet Chrysochoou</cp:lastModifiedBy>
  <cp:revision>4</cp:revision>
  <dcterms:created xsi:type="dcterms:W3CDTF">2022-06-23T09:24:00Z</dcterms:created>
  <dcterms:modified xsi:type="dcterms:W3CDTF">2022-06-23T09:28:00Z</dcterms:modified>
</cp:coreProperties>
</file>