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120" w:rsidRPr="00514AC4" w:rsidRDefault="00FA1120">
      <w:pPr>
        <w:rPr>
          <w:rFonts w:cstheme="minorHAnsi"/>
          <w:color w:val="333333"/>
          <w:u w:val="single"/>
          <w:shd w:val="clear" w:color="auto" w:fill="FFFFFF"/>
        </w:rPr>
      </w:pPr>
      <w:r w:rsidRPr="00514AC4">
        <w:rPr>
          <w:rFonts w:cstheme="minorHAnsi"/>
          <w:color w:val="333333"/>
          <w:u w:val="single"/>
          <w:shd w:val="clear" w:color="auto" w:fill="FFFFFF"/>
        </w:rPr>
        <w:t>View full text online at</w:t>
      </w:r>
      <w:bookmarkStart w:id="0" w:name="_GoBack"/>
      <w:bookmarkEnd w:id="0"/>
    </w:p>
    <w:p w:rsidR="005E7305" w:rsidRPr="00FA1120" w:rsidRDefault="00FA1120">
      <w:pPr>
        <w:rPr>
          <w:rFonts w:cstheme="minorHAnsi"/>
          <w:color w:val="333333"/>
          <w:shd w:val="clear" w:color="auto" w:fill="FFFFFF"/>
        </w:rPr>
      </w:pPr>
      <w:hyperlink r:id="rId5" w:history="1">
        <w:r w:rsidRPr="00FA1120">
          <w:rPr>
            <w:rStyle w:val="-"/>
            <w:rFonts w:cstheme="minorHAnsi"/>
            <w:shd w:val="clear" w:color="auto" w:fill="FFFFFF"/>
          </w:rPr>
          <w:t>https://www.tandfonline.com/eprint/3SRMJCFF6TZRMMEBP9ZD/full?target=10.1080/20445911.2021.2002875</w:t>
        </w:r>
      </w:hyperlink>
    </w:p>
    <w:p w:rsidR="00FA1120" w:rsidRPr="00FA1120" w:rsidRDefault="00FA1120">
      <w:pPr>
        <w:rPr>
          <w:rFonts w:cstheme="minorHAnsi"/>
          <w:color w:val="333333"/>
          <w:shd w:val="clear" w:color="auto" w:fill="FFFFFF"/>
        </w:rPr>
      </w:pPr>
    </w:p>
    <w:p w:rsidR="00FA1120" w:rsidRPr="00FA1120" w:rsidRDefault="00FA1120">
      <w:pPr>
        <w:rPr>
          <w:rFonts w:cstheme="minorHAnsi"/>
          <w:color w:val="333333"/>
          <w:shd w:val="clear" w:color="auto" w:fill="FFFFFF"/>
        </w:rPr>
      </w:pPr>
      <w:proofErr w:type="spellStart"/>
      <w:proofErr w:type="gramStart"/>
      <w:r w:rsidRPr="00FA1120">
        <w:rPr>
          <w:rFonts w:cstheme="minorHAnsi"/>
          <w:color w:val="333333"/>
          <w:shd w:val="clear" w:color="auto" w:fill="FFFFFF"/>
        </w:rPr>
        <w:t>Chrysochoou</w:t>
      </w:r>
      <w:proofErr w:type="spellEnd"/>
      <w:r w:rsidRPr="00FA1120">
        <w:rPr>
          <w:rFonts w:cstheme="minorHAnsi"/>
          <w:color w:val="333333"/>
          <w:shd w:val="clear" w:color="auto" w:fill="FFFFFF"/>
        </w:rPr>
        <w:t xml:space="preserve">, E., </w:t>
      </w:r>
      <w:proofErr w:type="spellStart"/>
      <w:r w:rsidRPr="00FA1120">
        <w:rPr>
          <w:rFonts w:cstheme="minorHAnsi"/>
          <w:color w:val="333333"/>
          <w:shd w:val="clear" w:color="auto" w:fill="FFFFFF"/>
        </w:rPr>
        <w:t>Vivas</w:t>
      </w:r>
      <w:proofErr w:type="spellEnd"/>
      <w:r w:rsidRPr="00FA1120">
        <w:rPr>
          <w:rFonts w:cstheme="minorHAnsi"/>
          <w:color w:val="333333"/>
          <w:shd w:val="clear" w:color="auto" w:fill="FFFFFF"/>
        </w:rPr>
        <w:t xml:space="preserve">, A. B., Cana, L., &amp; </w:t>
      </w:r>
      <w:proofErr w:type="spellStart"/>
      <w:r w:rsidRPr="00FA1120">
        <w:rPr>
          <w:rFonts w:cstheme="minorHAnsi"/>
          <w:color w:val="333333"/>
          <w:shd w:val="clear" w:color="auto" w:fill="FFFFFF"/>
        </w:rPr>
        <w:t>Demetriou</w:t>
      </w:r>
      <w:proofErr w:type="spellEnd"/>
      <w:r w:rsidRPr="00FA1120">
        <w:rPr>
          <w:rFonts w:cstheme="minorHAnsi"/>
          <w:color w:val="333333"/>
          <w:shd w:val="clear" w:color="auto" w:fill="FFFFFF"/>
        </w:rPr>
        <w:t>, A. (2021).</w:t>
      </w:r>
      <w:proofErr w:type="gramEnd"/>
      <w:r w:rsidRPr="00FA1120">
        <w:rPr>
          <w:rFonts w:cstheme="minorHAnsi"/>
          <w:color w:val="333333"/>
          <w:shd w:val="clear" w:color="auto" w:fill="FFFFFF"/>
        </w:rPr>
        <w:t xml:space="preserve"> The bilingual effect on cognitive development: not an executive function advantage, but a differentiation of mental abilities. </w:t>
      </w:r>
      <w:proofErr w:type="gramStart"/>
      <w:r w:rsidRPr="00FA1120">
        <w:rPr>
          <w:rFonts w:cstheme="minorHAnsi"/>
          <w:color w:val="333333"/>
          <w:shd w:val="clear" w:color="auto" w:fill="FFFFFF"/>
        </w:rPr>
        <w:t>Journal of Cognitive Psychology.</w:t>
      </w:r>
      <w:proofErr w:type="gramEnd"/>
      <w:r w:rsidRPr="00FA1120">
        <w:rPr>
          <w:rFonts w:cstheme="minorHAnsi"/>
          <w:color w:val="333333"/>
          <w:shd w:val="clear" w:color="auto" w:fill="FFFFFF"/>
        </w:rPr>
        <w:t xml:space="preserve"> </w:t>
      </w:r>
      <w:hyperlink r:id="rId6" w:history="1">
        <w:r w:rsidRPr="00FA1120">
          <w:rPr>
            <w:rStyle w:val="-"/>
            <w:rFonts w:cstheme="minorHAnsi"/>
            <w:shd w:val="clear" w:color="auto" w:fill="FFFFFF"/>
          </w:rPr>
          <w:t>https://doi.org/10.1080/20445911.2021.2002875</w:t>
        </w:r>
      </w:hyperlink>
    </w:p>
    <w:p w:rsidR="00FA1120" w:rsidRPr="00FA1120" w:rsidRDefault="00FA1120">
      <w:pPr>
        <w:rPr>
          <w:rFonts w:cstheme="minorHAnsi"/>
          <w:color w:val="333333"/>
          <w:shd w:val="clear" w:color="auto" w:fill="FFFFFF"/>
        </w:rPr>
      </w:pPr>
      <w:r w:rsidRPr="00FA1120">
        <w:rPr>
          <w:rFonts w:cstheme="minorHAnsi"/>
          <w:color w:val="333333"/>
        </w:rPr>
        <w:t>Adopting a different theoretical framework from the one dominating the field, this study explored bilingualism influences on the development and differentiation of mental abilities. Albanian-Turkish bilingual (</w:t>
      </w:r>
      <w:r w:rsidRPr="00FA1120">
        <w:rPr>
          <w:rFonts w:cstheme="minorHAnsi"/>
          <w:i/>
          <w:iCs/>
          <w:color w:val="333333"/>
        </w:rPr>
        <w:t>N</w:t>
      </w:r>
      <w:r w:rsidRPr="00FA1120">
        <w:rPr>
          <w:rFonts w:cstheme="minorHAnsi"/>
          <w:color w:val="333333"/>
        </w:rPr>
        <w:t> = 122) and Albanian-speaking monolingual (</w:t>
      </w:r>
      <w:r w:rsidRPr="00FA1120">
        <w:rPr>
          <w:rFonts w:cstheme="minorHAnsi"/>
          <w:i/>
          <w:iCs/>
          <w:color w:val="333333"/>
        </w:rPr>
        <w:t>N</w:t>
      </w:r>
      <w:r w:rsidRPr="00FA1120">
        <w:rPr>
          <w:rFonts w:cstheme="minorHAnsi"/>
          <w:color w:val="333333"/>
        </w:rPr>
        <w:t xml:space="preserve"> = 129) children, adolescents, and adults were assessed on monitoring, inhibitory control, processing efficiency, fluid reasoning, and vocabulary, and were asked to specify their own language efficiency (a cognizance index). Analyses showed a bilingual advantage in monitoring—adjusting for any fluid </w:t>
      </w:r>
      <w:proofErr w:type="gramStart"/>
      <w:r w:rsidRPr="00FA1120">
        <w:rPr>
          <w:rFonts w:cstheme="minorHAnsi"/>
          <w:color w:val="333333"/>
        </w:rPr>
        <w:t>reasoning effects—which was</w:t>
      </w:r>
      <w:proofErr w:type="gramEnd"/>
      <w:r w:rsidRPr="00FA1120">
        <w:rPr>
          <w:rFonts w:cstheme="minorHAnsi"/>
          <w:color w:val="333333"/>
        </w:rPr>
        <w:t xml:space="preserve"> larger in children. Moreover, a more pronounced bilingual benefit was observed for the incongruent condition RT of the attention task. Structural equation </w:t>
      </w:r>
      <w:proofErr w:type="spellStart"/>
      <w:r w:rsidRPr="00FA1120">
        <w:rPr>
          <w:rFonts w:cstheme="minorHAnsi"/>
          <w:color w:val="333333"/>
        </w:rPr>
        <w:t>modelling</w:t>
      </w:r>
      <w:proofErr w:type="spellEnd"/>
      <w:r w:rsidRPr="00FA1120">
        <w:rPr>
          <w:rFonts w:cstheme="minorHAnsi"/>
          <w:color w:val="333333"/>
        </w:rPr>
        <w:t xml:space="preserve"> showed though that the difference between language groups does not lie within the executive function domain (inhibitory control); it rather regards processing efficiency. Analyses also revealed increased differentiation of mental abilities in bilinguals, reflecting enhanced cognitive flexibility. Implications for cognitive developmental and individual differences theories are discussed.</w:t>
      </w:r>
    </w:p>
    <w:sectPr w:rsidR="00FA1120" w:rsidRPr="00FA112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120"/>
    <w:rsid w:val="00514AC4"/>
    <w:rsid w:val="005E7305"/>
    <w:rsid w:val="00FA1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unhideWhenUsed/>
    <w:rsid w:val="00FA1120"/>
    <w:rPr>
      <w:color w:val="0000FF" w:themeColor="hyperlink"/>
      <w:u w:val="single"/>
    </w:rPr>
  </w:style>
  <w:style w:type="character" w:styleId="a3">
    <w:name w:val="Emphasis"/>
    <w:basedOn w:val="a0"/>
    <w:uiPriority w:val="20"/>
    <w:qFormat/>
    <w:rsid w:val="00FA112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unhideWhenUsed/>
    <w:rsid w:val="00FA1120"/>
    <w:rPr>
      <w:color w:val="0000FF" w:themeColor="hyperlink"/>
      <w:u w:val="single"/>
    </w:rPr>
  </w:style>
  <w:style w:type="character" w:styleId="a3">
    <w:name w:val="Emphasis"/>
    <w:basedOn w:val="a0"/>
    <w:uiPriority w:val="20"/>
    <w:qFormat/>
    <w:rsid w:val="00FA112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i.org/10.1080/20445911.2021.2002875" TargetMode="External"/><Relationship Id="rId5" Type="http://schemas.openxmlformats.org/officeDocument/2006/relationships/hyperlink" Target="https://www.tandfonline.com/eprint/3SRMJCFF6TZRMMEBP9ZD/full?target=10.1080/20445911.2021.200287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ΛΧ-LC</dc:creator>
  <cp:lastModifiedBy>ΛΧ-LC</cp:lastModifiedBy>
  <cp:revision>2</cp:revision>
  <dcterms:created xsi:type="dcterms:W3CDTF">2021-11-16T14:42:00Z</dcterms:created>
  <dcterms:modified xsi:type="dcterms:W3CDTF">2021-11-16T14:42:00Z</dcterms:modified>
</cp:coreProperties>
</file>